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4-101</w:t>
        <w:t xml:space="preserve">.  </w:t>
      </w:r>
      <w:r>
        <w:rPr>
          <w:b/>
        </w:rPr>
        <w:t xml:space="preserve">Definitions</w:t>
      </w:r>
    </w:p>
    <w:p>
      <w:pPr>
        <w:jc w:val="both"/>
        <w:spacing w:before="100" w:after="100"/>
        <w:ind w:start="360"/>
        <w:ind w:firstLine="360"/>
      </w:pPr>
      <w:r>
        <w:rPr/>
      </w:r>
      <w:r>
        <w:rPr/>
      </w:r>
      <w:r>
        <w:t xml:space="preserve">As used in this Article,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Local administration.</w:t>
        <w:t xml:space="preserve"> </w:t>
      </w:r>
      <w:r>
        <w:t xml:space="preserve"> </w:t>
      </w:r>
      <w:r>
        <w:t xml:space="preserve">"Local administration" means administration by a personal representative appointed in this State pursuant to appointment proceedings described in </w:t>
      </w:r>
      <w:r>
        <w:t>Article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Local personal representative.</w:t>
        <w:t xml:space="preserve"> </w:t>
      </w:r>
      <w:r>
        <w:t xml:space="preserve"> </w:t>
      </w:r>
      <w:r>
        <w:t xml:space="preserve">"Local personal representative" includes any personal representative appointed in this State pursuant to appointment proceedings described in </w:t>
      </w:r>
      <w:r>
        <w:t>Article 3</w:t>
      </w:r>
      <w:r>
        <w:t xml:space="preserve"> and excludes foreign personal representatives who acquire the power of a local personal representative pursuant to </w:t>
      </w:r>
      <w:r>
        <w:t>section 4‑205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Resident creditor.</w:t>
        <w:t xml:space="preserve"> </w:t>
      </w:r>
      <w:r>
        <w:t xml:space="preserve"> </w:t>
      </w:r>
      <w:r>
        <w:t xml:space="preserve">"Resident creditor" means a person domiciled in or doing business in this State who is, or could be, a claimant against an estate of a nonresident decedent.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§4-101.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§4-101.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