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ind w:firstLine="360"/>
      </w:pPr>
      <w:r>
        <w:rPr/>
      </w:r>
      <w:r>
        <w:rPr/>
      </w:r>
      <w:r>
        <w:t xml:space="preserve">A foreign personal representative submits personally to the jurisdiction of the courts of this State in any proceeding relating to the estate 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Filing appointment with court.</w:t>
        <w:t xml:space="preserve"> </w:t>
      </w:r>
      <w:r>
        <w:t xml:space="preserve"> </w:t>
      </w:r>
      <w:r>
        <w:t xml:space="preserve">Filing authenticated copies of the foreign personal representative's appointment as provided in </w:t>
      </w:r>
      <w:r>
        <w:t>section 4‑204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Receiving estate assets.</w:t>
        <w:t xml:space="preserve"> </w:t>
      </w:r>
      <w:r>
        <w:t xml:space="preserve"> </w:t>
      </w:r>
      <w:r>
        <w:t xml:space="preserve">Receiving payment of money or taking delivery of personal property under </w:t>
      </w:r>
      <w:r>
        <w:t>section 4‑201</w:t>
      </w:r>
      <w:r>
        <w:t xml:space="preserve">.</w:t>
      </w:r>
    </w:p>
    <w:p>
      <w:pPr>
        <w:jc w:val="both"/>
        <w:spacing w:before="100" w:after="0"/>
        <w:ind w:start="360"/>
      </w:pPr>
      <w:r>
        <w:rPr/>
      </w:r>
      <w:r>
        <w:rPr/>
      </w:r>
      <w:r>
        <w:t xml:space="preserve">Jurisdiction under this subsection is limited to the money or value of personal property collected;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Acting as personal representative within State.</w:t>
        <w:t xml:space="preserve"> </w:t>
      </w:r>
      <w:r>
        <w:t xml:space="preserve"> </w:t>
      </w:r>
      <w:r>
        <w:t xml:space="preserve">Doing any act as a personal representative in this State that would have given the State jurisdiction over the foreign personal representative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§4-301. JURISDICTION BY ACT OF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