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5-122</w:t>
        <w:t xml:space="preserve">.  </w:t>
      </w:r>
      <w:r>
        <w:rPr>
          <w:b/>
        </w:rPr>
        <w:t xml:space="preserve">Third-party acceptance of authority of guardian or conservator</w:t>
      </w:r>
    </w:p>
    <w:p>
      <w:pPr>
        <w:jc w:val="both"/>
        <w:spacing w:before="100" w:after="100"/>
        <w:ind w:start="360"/>
        <w:ind w:firstLine="360"/>
      </w:pPr>
      <w:r>
        <w:rPr>
          <w:b/>
        </w:rPr>
        <w:t>1</w:t>
        <w:t xml:space="preserve">.  </w:t>
      </w:r>
      <w:r>
        <w:rPr>
          <w:b/>
        </w:rPr>
        <w:t xml:space="preserve">Refusal to recognize authority required.</w:t>
        <w:t xml:space="preserve"> </w:t>
      </w:r>
      <w:r>
        <w:t xml:space="preserve"> </w:t>
      </w:r>
      <w:r>
        <w:t xml:space="preserve">A person must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person has actual knowledge or a reasonable belief that the guardian's or conservator's letters of office are invalid or that the guardian or conservator is exceeding or improperly exercising authority granted by the court;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 has actual knowledge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Refusal to recognize authority discretionary.</w:t>
        <w:t xml:space="preserve"> </w:t>
      </w:r>
      <w:r>
        <w:t xml:space="preserve"> </w:t>
      </w:r>
      <w:r>
        <w:t xml:space="preserve">A person may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guardian's or conservator's proposed action would be inconsistent with this Act or any other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2019, c. 417, Pt. A, §15 (AMD).]</w:t>
      </w:r>
    </w:p>
    <w:p>
      <w:pPr>
        <w:jc w:val="both"/>
        <w:spacing w:before="100" w:after="0"/>
        <w:ind w:start="720"/>
      </w:pPr>
      <w:r>
        <w:rPr/>
        <w:t>B</w:t>
        <w:t xml:space="preserve">.  </w:t>
      </w:r>
      <w:r>
        <w:rPr/>
      </w:r>
      <w:r>
        <w:t xml:space="preserve">The person makes, or has actual knowledge that another person has made, a report to adult protective services or child protective services stating a good faith belief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§15 (AMD); PL 2019, c. 417, Pt. B, §14 (AFF).]</w:t>
      </w:r>
    </w:p>
    <w:p>
      <w:pPr>
        <w:jc w:val="both"/>
        <w:spacing w:before="100" w:after="0"/>
        <w:ind w:start="360"/>
        <w:ind w:firstLine="360"/>
      </w:pPr>
      <w:r>
        <w:rPr>
          <w:b/>
        </w:rPr>
        <w:t>3</w:t>
        <w:t xml:space="preserve">.  </w:t>
      </w:r>
      <w:r>
        <w:rPr>
          <w:b/>
        </w:rPr>
        <w:t xml:space="preserve">Report refusal to court.</w:t>
        <w:t xml:space="preserve"> </w:t>
      </w:r>
      <w:r>
        <w:t xml:space="preserve"> </w:t>
      </w:r>
      <w:r>
        <w:t xml:space="preserve">A person who refuses to accept the authority of a guardian or conservator in accordance with </w:t>
      </w:r>
      <w:r>
        <w:t>subsection 1</w:t>
      </w:r>
      <w:r>
        <w:t xml:space="preserve"> or </w:t>
      </w:r>
      <w:r>
        <w:t>2</w:t>
      </w:r>
      <w:r>
        <w:t xml:space="preserve"> shall report the refusal and the reason for refusal to the court.  The court on receiving a report shall consider whether removal of the guardian or conservator or other action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§16 (AMD).]</w:t>
      </w:r>
    </w:p>
    <w:p>
      <w:pPr>
        <w:jc w:val="both"/>
        <w:spacing w:before="100" w:after="0"/>
        <w:ind w:start="360"/>
        <w:ind w:firstLine="360"/>
      </w:pPr>
      <w:r>
        <w:rPr>
          <w:b/>
        </w:rPr>
        <w:t>4</w:t>
        <w:t xml:space="preserve">.  </w:t>
      </w:r>
      <w:r>
        <w:rPr>
          <w:b/>
        </w:rPr>
        <w:t xml:space="preserve">Petition to require acceptance.</w:t>
        <w:t xml:space="preserve"> </w:t>
      </w:r>
      <w:r>
        <w:t xml:space="preserve"> </w:t>
      </w:r>
      <w:r>
        <w:t xml:space="preserve">A guardian or conservator may petition the court to require a 3rd party to recognize the authority of a guardian or conservator or accept a decision made by the guardian or conservator on behalf of the individual subject to guardianship or conservatorship, and if the court finds that the refusal of a 3rd party to recognize the authority of a guardian or conservator or accept the decision made by the guardian or conservator was in bad faith and without adequate justification, the court may charge the person who refuses to recognize the authority of a guardian or conservator or accept the decision of the guardian or conservator for attorney's fees and costs.  Notice of the petition must be given to the adult subject to guardianship or conservatorship and to all persons entitled to notice under </w:t>
      </w:r>
      <w:r>
        <w:t>section 5‑310, subsection 5</w:t>
      </w:r>
      <w:r>
        <w:t xml:space="preserve">,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§§15-17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§5-122. Third-party acceptance of authority of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§5-122. Third-party acceptance of authority of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§5-122. THIRD-PARTY ACCEPTANCE OF AUTHORITY OF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