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§5-313. Duties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Duties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§5-313. DUTIES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