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5-417</w:t>
        <w:t xml:space="preserve">.  </w:t>
      </w:r>
      <w:r>
        <w:rPr>
          <w:b/>
        </w:rPr>
        <w:t xml:space="preserve">Terms and requirements of bond</w:t>
      </w:r>
    </w:p>
    <w:p>
      <w:pPr>
        <w:jc w:val="both"/>
        <w:spacing w:before="100" w:after="100"/>
        <w:ind w:start="360"/>
        <w:ind w:firstLine="360"/>
      </w:pPr>
      <w:r>
        <w:rPr>
          <w:b/>
        </w:rPr>
        <w:t>1</w:t>
        <w:t xml:space="preserve">.  </w:t>
      </w:r>
      <w:r>
        <w:rPr>
          <w:b/>
        </w:rPr>
        <w:t xml:space="preserve">Bond requirements.</w:t>
        <w:t xml:space="preserve"> </w:t>
      </w:r>
      <w:r>
        <w:t xml:space="preserve"> </w:t>
      </w:r>
      <w:r>
        <w:t xml:space="preserve">The following rules apply to the bond required under </w:t>
      </w:r>
      <w:r>
        <w:t>section 5‑416</w:t>
      </w:r>
      <w:r>
        <w:t xml:space="preserve">.</w:t>
      </w:r>
    </w:p>
    <w:p>
      <w:pPr>
        <w:jc w:val="both"/>
        <w:spacing w:before="100" w:after="0"/>
        <w:ind w:start="720"/>
      </w:pPr>
      <w:r>
        <w:rPr/>
        <w:t>A</w:t>
        <w:t xml:space="preserve">.  </w:t>
      </w:r>
      <w:r>
        <w:rPr/>
      </w:r>
      <w:r>
        <w:t xml:space="preserve">Except as otherwise provided by the bond, the surety and the conservator are jointly and severally liable.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executing a bond provided by a conservator, a surety submits to the jurisdiction of the court that issued letters of office to the conservator in a proceeding pertaining to the duties of the conservator in which the surety is named as a party.  Notice of the proceeding must be given to the surety at the address shown in the court records at the place where the bond is filed and any other address of the surety then known to the person required to provide the notice.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On petition of a successor conservator or any person affected by a breach of the obligation of the bond, a proceeding may be brought against a surety for breach of the obligation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proceeding against the bond may be brought until liability under the bond is exhausted.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Proceeding against surety.</w:t>
        <w:t xml:space="preserve"> </w:t>
      </w:r>
      <w:r>
        <w:t xml:space="preserve"> </w:t>
      </w:r>
      <w:r>
        <w:t xml:space="preserve">A proceeding may not be brought against a surety of a bond under this section on a matter as to which a proceeding against the conservator is barred.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nonrenewal.</w:t>
        <w:t xml:space="preserve"> </w:t>
      </w:r>
      <w:r>
        <w:t xml:space="preserve"> </w:t>
      </w:r>
      <w:r>
        <w:t xml:space="preserve">The surety or sureties of the bond must immediately serve notice to the court and to the individual under conservatorship if the bond is not renewed by the conservator.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§5-417. Terms and requirements of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§5-417. Terms and requirements of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§5-417. TERMS AND REQUIREMENTS OF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