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5-425</w:t>
        <w:t xml:space="preserve">.  </w:t>
      </w:r>
      <w:r>
        <w:rPr>
          <w:b/>
        </w:rPr>
        <w:t xml:space="preserve">Transaction involving conflict of interest</w:t>
      </w:r>
    </w:p>
    <w:p>
      <w:pPr>
        <w:jc w:val="both"/>
        <w:spacing w:before="100" w:after="100"/>
        <w:ind w:start="360"/>
        <w:ind w:firstLine="360"/>
      </w:pPr>
      <w:r>
        <w:rPr/>
      </w:r>
      <w:r>
        <w:rPr/>
      </w:r>
      <w:r>
        <w:t xml:space="preserve">A transaction involving a conservatorship estate that is affected by a substantial conflict between the conservator's fiduciary duties and personal interests is voidable unless the transaction is authorized by the court by specific order after notice to all persons entitled to notice under </w:t>
      </w:r>
      <w:r>
        <w:t>section 5‑411, subsection 5</w:t>
      </w:r>
      <w:r>
        <w:t xml:space="preserve"> or a subsequent order.  A transaction affected by a substantial conflict between fiduciary duties and personal interests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§5-425. Transaction involving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§5-425. Transaction involving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§5-425. TRANSACTION INVOLVING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