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§5-427. Death of individual subject to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§5-427. Death of individual subject to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§5-427. DEATH OF INDIVIDUAL SUBJECT TO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