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5-946</w:t>
        <w:t xml:space="preserve">.  </w:t>
      </w:r>
      <w:r>
        <w:rPr>
          <w:b/>
        </w:rPr>
        <w:t xml:space="preserve">Taxes</w:t>
      </w:r>
    </w:p>
    <w:p>
      <w:pPr>
        <w:jc w:val="both"/>
        <w:spacing w:before="100" w:after="100"/>
        <w:ind w:start="360"/>
        <w:ind w:firstLine="360"/>
      </w:pPr>
      <w:r>
        <w:rPr/>
      </w:r>
      <w:r>
        <w:rPr/>
      </w:r>
      <w:r>
        <w:t xml:space="preserve">Unless the power of attorney otherwise provides, language in a power of attorney granting general authority with respect to taxes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Prepare, sign and file returns and other documents.</w:t>
        <w:t xml:space="preserve"> </w:t>
      </w:r>
      <w:r>
        <w:t xml:space="preserve"> </w:t>
      </w:r>
      <w:r>
        <w:t xml:space="preserve">Prepare, sign and file federal, state, local and foreign income, gift, payroll, property, Federal Insurance Contributions Act and other tax returns, claims for refunds, requests for extension of time, petitions regarding tax matters and any other tax-related documents, including receipts, offers, waivers, consents, including consents and agreements under 26 United States Code, </w:t>
      </w:r>
      <w:r>
        <w:t>Section 2032A</w:t>
      </w:r>
      <w:r>
        <w:t xml:space="preserve">, as amended, closing agreements and any power of attorney required by the federal Internal Revenue Service or other taxing authority with respect to a tax year upon which the statute of limitations has not run and the following 25 tax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Taxes due, refunds, bonds, confidential information and deficiencies.</w:t>
        <w:t xml:space="preserve"> </w:t>
      </w:r>
      <w:r>
        <w:t xml:space="preserve"> </w:t>
      </w:r>
      <w:r>
        <w:t xml:space="preserve">Pay taxes due, collect refunds, post bonds, receive confidential information and contest deficiencies determined by the federal Internal Revenue Service or other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Election under tax law.</w:t>
        <w:t xml:space="preserve"> </w:t>
      </w:r>
      <w:r>
        <w:t xml:space="preserve"> </w:t>
      </w:r>
      <w:r>
        <w:t xml:space="preserve">Exercise any election available to the principal under federal, state, local or foreign tax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Act for principal in all tax matters.</w:t>
        <w:t xml:space="preserve"> </w:t>
      </w:r>
      <w:r>
        <w:t xml:space="preserve"> </w:t>
      </w:r>
      <w:r>
        <w:t xml:space="preserve">Act for the principal in all tax matters for all periods before the federal Internal Revenue Service or other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§5-946.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§5-946.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§5-946.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