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Applicability of Part</w:t>
      </w:r>
    </w:p>
    <w:p>
      <w:pPr>
        <w:jc w:val="both"/>
        <w:spacing w:before="100" w:after="100"/>
        <w:ind w:start="360"/>
        <w:ind w:firstLine="360"/>
      </w:pPr>
      <w:r>
        <w:rPr/>
      </w:r>
      <w:r>
        <w:rPr/>
      </w:r>
      <w:r>
        <w:t xml:space="preserve">The provisions of </w:t>
      </w:r>
      <w:r>
        <w:t>subpart 2</w:t>
      </w:r>
      <w:r>
        <w:t xml:space="preserve">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w:t>
      </w:r>
      <w:r>
        <w:t>Subpart 3</w:t>
      </w:r>
      <w:r>
        <w:t xml:space="preserve"> governs the liability and set-off rights of financial institutions that make payments pursuant to </w:t>
      </w:r>
      <w:r>
        <w:t>subpart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§6-206. Applicability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Applicability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§6-206. APPLICABILITY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