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6-226</w:t>
        <w:t xml:space="preserve">.  </w:t>
      </w:r>
      <w:r>
        <w:rPr>
          <w:b/>
        </w:rPr>
        <w:t xml:space="preserve">Discharge</w:t>
      </w:r>
    </w:p>
    <w:p>
      <w:pPr>
        <w:jc w:val="both"/>
        <w:spacing w:before="100" w:after="0"/>
        <w:ind w:start="360"/>
        <w:ind w:firstLine="360"/>
      </w:pPr>
      <w:r>
        <w:rPr>
          <w:b/>
        </w:rPr>
        <w:t>1</w:t>
        <w:t xml:space="preserve">.  </w:t>
      </w:r>
      <w:r>
        <w:rPr>
          <w:b/>
        </w:rPr>
        <w:t xml:space="preserve">Payments in accordance with terms of account.</w:t>
        <w:t xml:space="preserve"> </w:t>
      </w:r>
      <w:r>
        <w:t xml:space="preserve"> </w:t>
      </w:r>
      <w:r>
        <w:t xml:space="preserve">Payment made pursuant to this 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Payments after receipt of notice.</w:t>
        <w:t xml:space="preserve"> </w:t>
      </w:r>
      <w:r>
        <w:t xml:space="preserve"> </w:t>
      </w:r>
      <w:r>
        <w:t xml:space="preserve">Protection under this section does not extend to payments made after a financial institution has received written notice from a party, or from the personal representative, surviving spouse or heir or devisee of a deceased party, to the effect that payments in accordance with the terms of the account, including one having an agency designation, should not be permitted, and the financial institution has had a reasonable opportunity to act on the notice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in an action or proceeding, no other notice or other information shown to have been available to the financial institution affects its right to protection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dispute; refusal to make payments.</w:t>
        <w:t xml:space="preserve"> </w:t>
      </w:r>
      <w:r>
        <w:t xml:space="preserve"> </w:t>
      </w:r>
      <w:r>
        <w:t xml:space="preserve">A financial institution that receives written notice pursuant to this section that a dispute exists as to the rights of the parties may refuse, without liability, to make payments in accordance with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parties in disputes.</w:t>
        <w:t xml:space="preserve"> </w:t>
      </w:r>
      <w:r>
        <w:t xml:space="preserve"> </w:t>
      </w:r>
      <w:r>
        <w:t xml:space="preserve">Protection of a financial institution under this section does not affect the rights of parties in disputes between themselves or their successors concerning the beneficial ownership of sums on deposit in accounts or payments made from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§6-226.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§6-226.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§6-226.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