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Registration in beneficiary form; applicable law</w:t>
      </w:r>
    </w:p>
    <w:p>
      <w:pPr>
        <w:jc w:val="both"/>
        <w:spacing w:before="100" w:after="100"/>
        <w:ind w:start="360"/>
        <w:ind w:firstLine="360"/>
      </w:pPr>
      <w:r>
        <w:rPr/>
      </w:r>
      <w:r>
        <w:rPr/>
      </w:r>
      <w:r>
        <w:t xml:space="preserve">A security may be registered in beneficiary form if the form is authorized by this Part or a similar statute of the state of organization of the issuer or registering entity, the location of the registering entity's principal office, the office of the registering entity's transfer agent or the registering entity's office making the registration or by this Part or a similar statute of the law of the state listed as the owner's address at the time of registration.  A registration governed by the law of a jurisdiction in which this Part or similar legislation is not in force or was not in force when a registration in beneficiary form was made is nevertheless presumed to be valid and authorized as a matter of contract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§6-303. Registration in beneficiary form; applicable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Registration in beneficiary form; applicable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§6-303. REGISTRATION IN BENEFICIARY FORM; APPLICABLE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