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6-308</w:t>
        <w:t xml:space="preserve">.  </w:t>
      </w:r>
      <w:r>
        <w:rPr>
          <w:b/>
        </w:rPr>
        <w:t xml:space="preserve">Protection of registering entity</w:t>
      </w:r>
    </w:p>
    <w:p>
      <w:pPr>
        <w:jc w:val="both"/>
        <w:spacing w:before="100" w:after="0"/>
        <w:ind w:start="360"/>
        <w:ind w:firstLine="360"/>
      </w:pPr>
      <w:r>
        <w:rPr>
          <w:b/>
        </w:rPr>
        <w:t>1</w:t>
        <w:t xml:space="preserve">.  </w:t>
      </w:r>
      <w:r>
        <w:rPr>
          <w:b/>
        </w:rPr>
        <w:t xml:space="preserve">Security registration in beneficiary form not required; protections.</w:t>
        <w:t xml:space="preserve"> </w:t>
      </w:r>
      <w:r>
        <w:t xml:space="preserve"> </w:t>
      </w:r>
      <w:r>
        <w:t xml:space="preserve">A registering entity is not required to offer or to accept a request for security registration in beneficiary form.  If a registration in beneficiary form is offered by a registering entity, the owner requesting registration in beneficiary form assents to the protections given to the registering entity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Registration to be implemented on death.</w:t>
        <w:t xml:space="preserve"> </w:t>
      </w:r>
      <w:r>
        <w:t xml:space="preserve"> </w:t>
      </w:r>
      <w:r>
        <w:t xml:space="preserve">By accepting a request for registration of a security in beneficiary form, the registering entity agrees that the registration will be implemented on death of the deceased owner as provided in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Registering entity discharged from all claims; exceptions.</w:t>
        <w:t xml:space="preserve"> </w:t>
      </w:r>
      <w:r>
        <w:t xml:space="preserve"> </w:t>
      </w:r>
      <w:r>
        <w:t xml:space="preserve">A registering entity is discharged from all claims to a security by the estate, creditors, heirs or devisees of a deceased owner if the registering entity registers a transfer of the security in accordance with </w:t>
      </w:r>
      <w:r>
        <w:t>section 6‑307</w:t>
      </w:r>
      <w:r>
        <w:t xml:space="preserve"> and does so in good faith reliance on:</w:t>
      </w:r>
    </w:p>
    <w:p>
      <w:pPr>
        <w:jc w:val="both"/>
        <w:spacing w:before="100" w:after="0"/>
        <w:ind w:start="720"/>
      </w:pPr>
      <w:r>
        <w:rPr/>
        <w:t>A</w:t>
        <w:t xml:space="preserve">.  </w:t>
      </w:r>
      <w:r>
        <w:rPr/>
      </w:r>
      <w:r>
        <w:t xml:space="preserve">The registration;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This Part;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Information provided to the registering entity by affidavit of the personal representative of the deceased owner, by the surviving beneficiary or by the surviving beneficiary's representatives or other information available to the registering entity.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The protections of this Part do not extend to a reregistration or payment made after a registering entity has received written notice from any claimant to any interest in the security objecting to implementation of a registration in beneficiary form.  No other notice or other information available to the registering entity affects its right to protection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Rights of beneficiaries in disputes.</w:t>
        <w:t xml:space="preserve"> </w:t>
      </w:r>
      <w:r>
        <w:t xml:space="preserve"> </w:t>
      </w:r>
      <w:r>
        <w:t xml:space="preserve">The protection provided by this Part to the registering entity of a security does not affect the rights of beneficiaries in disputes between themselves and other claimants to ownership of the security transferred or its value or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§6-308. Protection of registering entity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§6-308. Protection of registering entity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§6-308. PROTECTION OF REGISTERING ENTITY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