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Separate records</w:t>
      </w:r>
    </w:p>
    <w:p>
      <w:pPr>
        <w:jc w:val="both"/>
        <w:spacing w:before="100" w:after="100"/>
        <w:ind w:start="360"/>
        <w:ind w:firstLine="360"/>
      </w:pPr>
      <w:r>
        <w:rPr/>
      </w:r>
      <w:r>
        <w:rPr/>
      </w:r>
      <w:r>
        <w:t xml:space="preserve">The records of a bank or trust company must at all times show the ownership of investments held in the name of nominees; such investments must be in the possession and control of the bank or trust company and must be kept separate and apart from the assets of the bank or trust company.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§7-302. Separate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Separate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§7-302. SEPARATE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