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7-442</w:t>
        <w:t xml:space="preserve">.  </w:t>
      </w:r>
      <w:r>
        <w:rPr>
          <w:b/>
        </w:rPr>
        <w:t xml:space="preserve">Distribution from trust or estate</w:t>
      </w:r>
    </w:p>
    <w:p>
      <w:pPr>
        <w:jc w:val="both"/>
        <w:spacing w:before="100" w:after="100"/>
        <w:ind w:start="360"/>
        <w:ind w:firstLine="360"/>
      </w:pPr>
      <w:r>
        <w:rPr/>
      </w:r>
      <w:r>
        <w:rPr/>
      </w:r>
      <w:r>
        <w:t xml:space="preserve">A trustee shall allocate to income an amount received as a distribution of income from a trust or an estate in which the trust has an interest other than a purchased interest, and shall allocate to principal an amount received as a distribution of principal from such a trust or estate.  If a trustee purchases an interest in a trust that is an investment entity, or a decedent or donor transfers an interest in such a trust to a trustee, </w:t>
      </w:r>
      <w:r>
        <w:t>section 7‑441</w:t>
      </w:r>
      <w:r>
        <w:t xml:space="preserve"> or </w:t>
      </w:r>
      <w:r>
        <w:t>7‑455</w:t>
      </w:r>
      <w:r>
        <w:t xml:space="preserve"> applies to a receipt from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§7-442. Distribution from trust or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§7-442. Distribution from trust or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§7-442. DISTRIBUTION FROM TRUST OR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