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§7-446. OBLIGATION TO PAY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