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7-447</w:t>
        <w:t xml:space="preserve">.  </w:t>
      </w:r>
      <w:r>
        <w:rPr>
          <w:b/>
        </w:rPr>
        <w:t xml:space="preserve">Insurance policies and similar contracts</w:t>
      </w:r>
    </w:p>
    <w:p>
      <w:pPr>
        <w:jc w:val="both"/>
        <w:spacing w:before="100" w:after="0"/>
        <w:ind w:start="360"/>
        <w:ind w:firstLine="360"/>
      </w:pPr>
      <w:r>
        <w:rPr>
          <w:b/>
        </w:rPr>
        <w:t>1</w:t>
        <w:t xml:space="preserve">.  </w:t>
      </w:r>
      <w:r>
        <w:rPr>
          <w:b/>
        </w:rPr>
        <w:t xml:space="preserve">Trust, trustee as beneficiary; allocate to principal.</w:t>
        <w:t xml:space="preserve"> </w:t>
      </w:r>
      <w:r>
        <w:t xml:space="preserve"> </w:t>
      </w:r>
      <w:r>
        <w:t xml:space="preserve">Except as otherwise provided in </w:t>
      </w:r>
      <w:r>
        <w:t>subsection 2</w:t>
      </w:r>
      <w:r>
        <w:t xml:space="preserve">,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Loss of occupancy, use, income, business profits; allocate to income.</w:t>
        <w:t xml:space="preserve"> </w:t>
      </w:r>
      <w:r>
        <w:t xml:space="preserve"> </w:t>
      </w:r>
      <w:r>
        <w:t xml:space="preserve">A trustee shall allocate to income proceeds of a contract that insures the trustee against loss of occupancy or other use by an income beneficiary, loss of income or, subject to </w:t>
      </w:r>
      <w:r>
        <w:t>section 7‑443</w:t>
      </w:r>
      <w:r>
        <w:t xml:space="preserve">, loss of profits from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 contract to which </w:t>
      </w:r>
      <w:r>
        <w:t>section 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§7-447. Insurance policies and similar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§7-447. Insurance policies and similar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§7-447. INSURANCE POLICIES AND SIMILAR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