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7-449</w:t>
        <w:t xml:space="preserve">.  </w:t>
      </w:r>
      <w:r>
        <w:rPr>
          <w:b/>
        </w:rPr>
        <w:t xml:space="preserve">Deferred compensation, annuities and similar 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"Payment" means a payment that a trustee may receive over a fixed number of years or during the life of one or more individuals because of services rendered or property transferred to the payor in exchange for future payments.  "Payment" includes a payment made in money or property from the payor's general assets or from a separate fund created by the payor.  For the purposes of </w:t>
      </w:r>
      <w:r>
        <w:t>subsections 4</w:t>
      </w:r>
      <w:r>
        <w:t xml:space="preserve">, </w:t>
      </w:r>
      <w:r>
        <w:t>5</w:t>
      </w:r>
      <w:r>
        <w:t xml:space="preserve">, </w:t>
      </w:r>
      <w:r>
        <w:t>6</w:t>
      </w:r>
      <w:r>
        <w:t xml:space="preserve"> and </w:t>
      </w:r>
      <w:r>
        <w:t>7</w:t>
      </w:r>
      <w:r>
        <w:t xml:space="preserve">, "payment" also includes any payment from any separate fund, regardless of the reason for the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"Separate fund" includes a private or commercial annuity, an individual retirement account and a pension, profit-sharing, stock-bonus or stock-ownership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is interest or dividend; allocate to income.</w:t>
        <w:t xml:space="preserve"> </w:t>
      </w:r>
      <w:r>
        <w:t xml:space="preserve"> </w:t>
      </w:r>
      <w:r>
        <w:t xml:space="preserve">To the extent that a payment is characterized as interest, a dividend or a payment made in lieu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 not interest or dividend; allocation based on if required.</w:t>
        <w:t xml:space="preserve"> </w:t>
      </w:r>
      <w:r>
        <w:t xml:space="preserve"> </w:t>
      </w:r>
      <w:r>
        <w:t xml:space="preserve">If no part of a payment is characterized as interest, a dividend or an equivalent payment, and all or part of the payment is required to be made, a trustee shall allocate to income 10% of the part that is required to be made during the accounting period and the balance to principal.  If no part of a payment is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Payment qualifies for marital deduction.</w:t>
        <w:t xml:space="preserve"> </w:t>
      </w:r>
      <w:r>
        <w:t xml:space="preserve"> </w:t>
      </w:r>
      <w:r>
        <w:t xml:space="preserve">Except as otherwise provided in </w:t>
      </w:r>
      <w:r>
        <w:t>subsection 5</w:t>
      </w:r>
      <w:r>
        <w:t xml:space="preserve">, </w:t>
      </w:r>
      <w:r>
        <w:t>subsections 6</w:t>
      </w:r>
      <w:r>
        <w:t xml:space="preserve"> and </w:t>
      </w:r>
      <w:r>
        <w:t>7</w:t>
      </w:r>
      <w:r>
        <w:t xml:space="preserve"> apply and subsections 2 and 3 do not apply in determining the allocation of a payment made from a separate fund to a trust:</w:t>
      </w:r>
    </w:p>
    <w:p>
      <w:pPr>
        <w:jc w:val="both"/>
        <w:spacing w:before="100" w:after="0"/>
        <w:ind w:start="720"/>
      </w:pPr>
      <w:r>
        <w:rPr/>
        <w:t>A</w:t>
        <w:t xml:space="preserve">.  </w:t>
      </w:r>
      <w:r>
        <w:rPr/>
      </w:r>
      <w:r>
        <w:t xml:space="preserve">That qualifies for the marital deduction under the federal Internal Revenue Code, 26 United States Code, Section 2056(b)(7) (2010), as amended, and for which either such an election has been made for federal purposes or for which an election under the pertinent provisions of the laws of the State to qualify as Maine qualified terminable interest property has been made;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qualifies for the marital deduction under the federal Internal Revenue Code, 26 United States Code, Section 2056(b)(5) (2010),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Series of payments qualify for marital deduction.</w:t>
        <w:t xml:space="preserve"> </w:t>
      </w:r>
      <w:r>
        <w:t xml:space="preserve"> </w:t>
      </w:r>
      <w:r>
        <w:t>Subsections 4</w:t>
      </w:r>
      <w:r>
        <w:t xml:space="preserve">, </w:t>
      </w:r>
      <w:r>
        <w:t>6</w:t>
      </w:r>
      <w:r>
        <w:t xml:space="preserve"> and </w:t>
      </w:r>
      <w:r>
        <w:t>7</w:t>
      </w:r>
      <w:r>
        <w:t xml:space="preserve"> do not apply if and to the extent that the series of payments would, without the application of </w:t>
      </w:r>
      <w:r>
        <w:t>subsection 4</w:t>
      </w:r>
      <w:r>
        <w:t xml:space="preserve">, qualify for the marital deduction under the federal Internal Revenue Code, 26 United States Code, Section 2056(b)(7)(C) (2010),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Internal income of separate fund.</w:t>
        <w:t xml:space="preserve"> </w:t>
      </w:r>
      <w:r>
        <w:t xml:space="preserve"> </w:t>
      </w:r>
      <w:r>
        <w:t xml:space="preserve">A trustee shall determine the internal income of each separate fund for the accounting period as if the separate fund were a trust subject to this Part.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Value of separate fund.</w:t>
        <w:t xml:space="preserve"> </w:t>
      </w:r>
      <w:r>
        <w:t xml:space="preserve"> </w:t>
      </w:r>
      <w:r>
        <w:t xml:space="preserve">If a trustee cannot determine the internal income of a separate fund but can determine the value of the separate fund, the internal income of the separate fund is deemed to equal 4%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the federal Internal Revenue Code, 26 United States Code, Section 7520 (2010), as amended, for the month preceding the accounting period for which the computation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applicable.</w:t>
        <w:t xml:space="preserve"> </w:t>
      </w:r>
      <w:r>
        <w:t xml:space="preserve"> </w:t>
      </w:r>
      <w:r>
        <w:t xml:space="preserve">This section does not apply to a payment to which </w:t>
      </w:r>
      <w:r>
        <w:t>section 7‑450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§7-449. Deferred compensation, annuities and similar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§7-449. Deferred compensation, annuities and similar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§7-449. DEFERRED COMPENSATION, ANNUITIES AND SIMILAR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