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8-110</w:t>
        <w:t xml:space="preserve">.  </w:t>
      </w:r>
      <w:r>
        <w:rPr>
          <w:b/>
        </w:rPr>
        <w:t xml:space="preserve">Support of dependents</w:t>
      </w:r>
    </w:p>
    <w:p>
      <w:pPr>
        <w:jc w:val="both"/>
        <w:spacing w:before="100" w:after="100"/>
        <w:ind w:start="360"/>
        <w:ind w:firstLine="360"/>
      </w:pPr>
      <w:r>
        <w:rPr/>
      </w:r>
      <w:r>
        <w:rPr/>
      </w:r>
      <w:r>
        <w:t xml:space="preserve">The court may order the absentee's property or its proceeds acquired by mortgage, lease or sale to be applied in payment of expenses incurred or that may be incurred to support and maintain the absentee's spouse and dependent children and to discharge any debts and claims for spousal support proved against the absentee.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§8-110. Support of dependents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§8-110. Support of dependents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§8-110. SUPPORT OF DEPENDENTS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