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Insufficient sureties</w:t>
      </w:r>
    </w:p>
    <w:p>
      <w:pPr>
        <w:jc w:val="both"/>
        <w:spacing w:before="100" w:after="100"/>
        <w:ind w:start="360"/>
        <w:ind w:firstLine="360"/>
      </w:pPr>
      <w:r>
        <w:rPr/>
      </w:r>
      <w:r>
        <w:rPr/>
      </w:r>
      <w:r>
        <w:t xml:space="preserve">When the sureties in a bond under </w:t>
      </w:r>
      <w:r>
        <w:t>section 8‑204</w:t>
      </w:r>
      <w:r>
        <w:t xml:space="preserve"> are insufficient, the court, on petition of any person interested and with notice to the principal, may require a new bond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§8-205. Insufficient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Insufficient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§8-205. INSUFFICIENT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