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9-305</w:t>
        <w:t xml:space="preserve">.  </w:t>
      </w:r>
      <w:r>
        <w:rPr>
          <w:b/>
        </w:rPr>
        <w:t xml:space="preserve">Evidence; procedure</w:t>
      </w:r>
    </w:p>
    <w:p>
      <w:pPr>
        <w:jc w:val="both"/>
        <w:spacing w:before="100" w:after="100"/>
        <w:ind w:start="360"/>
        <w:ind w:firstLine="360"/>
      </w:pPr>
      <w:r>
        <w:rPr/>
      </w:r>
      <w:r>
        <w:rPr/>
      </w:r>
      <w:r>
        <w:t xml:space="preserve">The court may proceed as follows in considering a petition for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 interview.</w:t>
        <w:t xml:space="preserve"> </w:t>
      </w:r>
      <w:r>
        <w:t xml:space="preserve"> </w:t>
      </w:r>
      <w:r>
        <w:t xml:space="preserve">The court may interview any adoptee, and shall interview an adoptee who is 12 years of age or older, outside the presence of the prospective adoptive parents, to determine the adoptee's attitudes and desires about the adoption and other relevant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Inspection of records; disclosure.</w:t>
        <w:t xml:space="preserve"> </w:t>
      </w:r>
      <w:r>
        <w:t xml:space="preserve"> </w:t>
      </w:r>
      <w:r>
        <w:t xml:space="preserve">The court may conduct an inspection in camera of records of relevant child protective proceedings and may disclose only that information necessary for the determination of any issue before the court.  Any disclosure of information must be done pursuant to </w:t>
      </w:r>
      <w:r>
        <w:t>Title 22, section 4008,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Recording; expenses.</w:t>
        <w:t xml:space="preserve"> </w:t>
      </w:r>
      <w:r>
        <w:t xml:space="preserve"> </w:t>
      </w:r>
      <w:r>
        <w:t xml:space="preserve">The parties may request a recording of the proceedings.  The requesting party shall pay the expense of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§9-305. Evidence;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§9-305. Evidence;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§9-305. EVIDENCE;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