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58</w:t>
      </w:r>
    </w:p>
    <w:p>
      <w:pPr>
        <w:jc w:val="center"/>
        <w:ind w:start="360"/>
        <w:spacing w:before="300" w:after="300"/>
      </w:pPr>
      <w:r>
        <w:rPr>
          <w:b/>
        </w:rPr>
        <w:t xml:space="preserve">UNIFORM CHILD CUSTODY JURISDICTION AND ENFORCEMENT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3</w:t>
      </w:r>
    </w:p>
    <w:p>
      <w:pPr>
        <w:jc w:val="center"/>
        <w:ind w:start="360"/>
        <w:spacing w:before="300" w:after="300"/>
      </w:pPr>
      <w:r>
        <w:rPr>
          <w:b/>
        </w:rPr>
        <w:t xml:space="preserve">ENFORCEMENT</w:t>
      </w:r>
    </w:p>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Serve notice upon the persons named pursuant to </w:t>
      </w:r>
      <w:r>
        <w:t>subsection 1, paragraph C</w:t>
      </w:r>
      <w:r>
        <w:t xml:space="preserve"> and provide them with an opportunity to contest the registration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58. UNIFORM CHILD CUSTODY JURISDICTION AND ENFORCEMENT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58. UNIFORM CHILD CUSTODY JURISDICTION AND ENFORCEMENT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58. UNIFORM CHILD CUSTODY JURISDICTION AND ENFORCEMENT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