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Jurisdiction</w:t>
      </w:r>
    </w:p>
    <w:p>
      <w:pPr>
        <w:jc w:val="both"/>
        <w:spacing w:before="100" w:after="100"/>
        <w:ind w:start="360"/>
        <w:ind w:firstLine="360"/>
      </w:pPr>
      <w:r>
        <w:rPr/>
      </w:r>
      <w:r>
        <w:rPr/>
      </w:r>
      <w:r>
        <w:t xml:space="preserve">Except as otherwise expressly provided, the District Court has original jurisdiction of all actions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731, Pt. ZZZ, §26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§ZZZ26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