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§1602. Additional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Additional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§1602. ADDITIONAL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