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w:t>
        <w:t xml:space="preserve">.  </w:t>
      </w:r>
      <w:r>
        <w:rPr>
          <w:b/>
        </w:rPr>
        <w:t xml:space="preserve">Service</w:t>
      </w:r>
    </w:p>
    <w:p>
      <w:pPr>
        <w:jc w:val="both"/>
        <w:spacing w:before="100" w:after="100"/>
        <w:ind w:start="360"/>
        <w:ind w:firstLine="360"/>
      </w:pPr>
      <w:r>
        <w:rPr/>
      </w:r>
      <w:r>
        <w:rPr/>
      </w:r>
      <w:r>
        <w:t xml:space="preserve">Service of a notice under </w:t>
      </w:r>
      <w:r>
        <w:t>section 1605</w:t>
      </w:r>
      <w:r>
        <w:t xml:space="preserve"> must be made by personal service as provided for personal service of summons by the Maine Rules of Civil Procedure, Rule 4(d).  Personal service within the State of a notice under </w:t>
      </w:r>
      <w:r>
        <w:t>section 1605</w:t>
      </w:r>
      <w:r>
        <w:t xml:space="preserve"> may be made by an authorized representative of the commissioner.  Personal service outside the State of a notice under </w:t>
      </w:r>
      <w:r>
        <w:t>section 1605</w:t>
      </w:r>
      <w:r>
        <w:t xml:space="preserve"> may be made in the manner provided for personal service of summons outside the State by the Maine Rules of Civil Procedure, Rule 4(e).</w:t>
      </w:r>
      <w:r>
        <w:t xml:space="preserve">  </w:t>
      </w:r>
      <w:r xmlns:wp="http://schemas.openxmlformats.org/drawingml/2010/wordprocessingDrawing" xmlns:w15="http://schemas.microsoft.com/office/word/2012/wordml">
        <w:rPr>
          <w:rFonts w:ascii="Arial" w:hAnsi="Arial" w:cs="Arial"/>
          <w:sz w:val="22"/>
          <w:szCs w:val="22"/>
        </w:rPr>
        <w:t xml:space="preserve">[PL 2009, c. 290,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2009, c. 290,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§1604.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§1604.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