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§1608. Multiple alleged fathers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Multiple alleged fathers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§1608. MULTIPLE ALLEGED FATHERS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