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1764</w:t>
        <w:t xml:space="preserve">.  </w:t>
      </w:r>
      <w:r>
        <w:rPr>
          <w:b/>
        </w:rPr>
        <w:t xml:space="preserve">Temporary visitation</w:t>
      </w:r>
    </w:p>
    <w:p>
      <w:pPr>
        <w:jc w:val="both"/>
        <w:spacing w:before="100" w:after="100"/>
        <w:ind w:start="360"/>
        <w:ind w:firstLine="360"/>
      </w:pPr>
      <w:r>
        <w:rPr>
          <w:b/>
        </w:rPr>
        <w:t>1</w:t>
        <w:t xml:space="preserve">.  </w:t>
      </w:r>
      <w:r>
        <w:rPr>
          <w:b/>
        </w:rPr>
        <w:t xml:space="preserve">Temporary order for enforcement.</w:t>
        <w:t xml:space="preserve"> </w:t>
      </w:r>
      <w:r>
        <w:t xml:space="preserve"> </w:t>
      </w:r>
      <w:r>
        <w:t xml:space="preserve">A court of this State that does not have jurisdiction to modify a child custody determination may issue a temporary order enforcing:</w:t>
      </w:r>
    </w:p>
    <w:p>
      <w:pPr>
        <w:jc w:val="both"/>
        <w:spacing w:before="100" w:after="0"/>
        <w:ind w:start="720"/>
      </w:pPr>
      <w:r>
        <w:rPr/>
        <w:t>A</w:t>
        <w:t xml:space="preserve">.  </w:t>
      </w:r>
      <w:r>
        <w:rPr/>
      </w:r>
      <w:r>
        <w:t xml:space="preserve">A visitation schedule made by a court of another state; or</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B</w:t>
        <w:t xml:space="preserve">.  </w:t>
      </w:r>
      <w:r>
        <w:rPr/>
      </w:r>
      <w:r>
        <w:t xml:space="preserve">The visitation provisions of a child custody determination of another state that does not provide for a specific visitation schedule.</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Duration of order.</w:t>
        <w:t xml:space="preserve"> </w:t>
      </w:r>
      <w:r>
        <w:t xml:space="preserve"> </w:t>
      </w:r>
      <w:r>
        <w:t xml:space="preserve">If a court of this State makes an order under </w:t>
      </w:r>
      <w:r>
        <w:t>subsection 1, paragraph B</w:t>
      </w:r>
      <w:r>
        <w:t xml:space="preserve">, it shall specify in the order a period that it considers adequate to allow the petitioner to obtain an order from a court having jurisdiction under the criteria specified in </w:t>
      </w:r>
      <w:r>
        <w:t>subchapter II</w:t>
      </w:r>
      <w:r>
        <w:t xml:space="preserve">.  The order remains in effect until an order is obtained from the other court or the period expires.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§1764. Temporary visitation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§1764. Temporary visitation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§1764. TEMPORARY VISITATION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