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Recognition and enforcement</w:t>
      </w:r>
    </w:p>
    <w:p>
      <w:pPr>
        <w:jc w:val="both"/>
        <w:spacing w:before="100" w:after="100"/>
        <w:ind w:start="360"/>
        <w:ind w:firstLine="360"/>
      </w:pPr>
      <w:r>
        <w:rPr/>
      </w:r>
      <w:r>
        <w:rPr/>
      </w:r>
      <w:r>
        <w:t xml:space="preserve">A court of this State shall accord full faith and credit to an order issued by another state and consistent with this chapter that enforces a child custody determination by a court of another state unless the order has been vacated, stayed or modified by a court having jurisdiction to do so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§1773. Recognition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Recognition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§1773. RECOGNITION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