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1883</w:t>
        <w:t xml:space="preserve">.  </w:t>
      </w:r>
      <w:r>
        <w:rPr>
          <w:b/>
        </w:rPr>
        <w:t xml:space="preserve">Multiple presumptions</w:t>
      </w:r>
    </w:p>
    <w:p>
      <w:pPr>
        <w:jc w:val="both"/>
        <w:spacing w:before="100" w:after="100"/>
        <w:ind w:start="360"/>
        <w:ind w:firstLine="360"/>
      </w:pPr>
      <w:r>
        <w:rPr/>
      </w:r>
      <w:r>
        <w:rPr/>
      </w:r>
      <w:r>
        <w:t xml:space="preserve">If 2 or more conflicting presumptions arise under this subchapter, the court shall adjudicate parentage and determine parental rights and responsibilities in accordance with </w:t>
      </w:r>
      <w:r>
        <w:t>section 1653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§1883. Multiple presumptions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§1883. Multiple presumptions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§1883. MULTIPLE PRESUMPTIONS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