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§1931. Eligibility to enter gestational carrier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Eligibility to enter gestational carrier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§1931. ELIGIBILITY TO ENTER GESTATIONAL CARRIER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