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Persons subject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§2253. PERSONS SUBJECT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