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Notice of support debt when court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§2352. NOTICE OF SUPPORT DEBT WHEN COURT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