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§2654. Payor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Payor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§2654. PAYOR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