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§2675. Allocating income withheld for multiple child support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§2675. Allocating income withheld for multiple child support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§2675. ALLOCATING INCOME WITHHELD FOR MULTIPLE CHILD SUPPORT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