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§2966. Continuing jurisdiction to enforce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§2966. Continuing jurisdiction to enforce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§2966. CONTINUING JURISDICTION TO ENFORCE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