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§3003. Application of law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Application of law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§3003. APPLICATION OF LAW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