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§3101-A. EMPLOYER'S COMPLIANCE WITH OUT-OF-STATE INCOME-WITHHOLDING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