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Effect of registration for modification</w:t>
      </w:r>
    </w:p>
    <w:p>
      <w:pPr>
        <w:jc w:val="both"/>
        <w:spacing w:before="100" w:after="100"/>
        <w:ind w:start="360"/>
        <w:ind w:firstLine="360"/>
      </w:pPr>
      <w:r>
        <w:rPr/>
      </w:r>
      <w:r>
        <w:rPr/>
      </w:r>
      <w:r>
        <w:t xml:space="preserve">A tribunal of this State may enforce a child support order of another state registered for purposes of modification in the same manner as if the order had been issued by a tribunal of this State, but the registered support order may be modified only if the requirements of </w:t>
      </w:r>
      <w:r>
        <w:t>section 3253</w:t>
      </w:r>
      <w:r>
        <w:t xml:space="preserve"> or 3255 have been met.</w:t>
      </w:r>
      <w:r>
        <w:t xml:space="preserve">  </w:t>
      </w:r>
      <w:r xmlns:wp="http://schemas.openxmlformats.org/drawingml/2010/wordprocessingDrawing" xmlns:w15="http://schemas.microsoft.com/office/word/2012/wordml">
        <w:rPr>
          <w:rFonts w:ascii="Arial" w:hAnsi="Arial" w:cs="Arial"/>
          <w:sz w:val="22"/>
          <w:szCs w:val="22"/>
        </w:rPr>
        <w:t xml:space="preserve">[PL 2009, c. 95, §75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§42 (AMD). PL 2009, c. 95, §75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§3252. Effect of registration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Effect of registration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§3252. EFFECT OF REGISTRATION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