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§3318. RECOGNITION AND ENFORCEMENT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