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Membership; terms; vacancies</w:t>
      </w:r>
    </w:p>
    <w:p>
      <w:pPr>
        <w:jc w:val="both"/>
        <w:spacing w:before="100" w:after="100"/>
        <w:ind w:start="360"/>
        <w:ind w:firstLine="360"/>
      </w:pPr>
      <w:r>
        <w:rPr>
          <w:b/>
        </w:rPr>
        <w:t>1</w:t>
        <w:t xml:space="preserve">.  </w:t>
      </w:r>
      <w:r>
        <w:rPr>
          <w:b/>
        </w:rPr>
        <w:t xml:space="preserve">Membership.</w:t>
        <w:t xml:space="preserve"> </w:t>
      </w:r>
      <w:r>
        <w:t xml:space="preserve"> </w:t>
      </w:r>
      <w:r>
        <w:t xml:space="preserve">The commission is composed of 11 members appointed by the Chief Justice of the Supreme Judicial Court.  The members must have experience in practicing family law or be knowledgeable about family law.  The membership of the commission must include:</w:t>
      </w:r>
    </w:p>
    <w:p>
      <w:pPr>
        <w:jc w:val="both"/>
        <w:spacing w:before="100" w:after="0"/>
        <w:ind w:start="720"/>
      </w:pPr>
      <w:r>
        <w:rPr/>
        <w:t>A</w:t>
        <w:t xml:space="preserve">.  </w:t>
      </w:r>
      <w:r>
        <w:rPr/>
      </w:r>
      <w:r>
        <w:t xml:space="preserve">An active Superior Court Justice;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An active District Court Judge;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B-1</w:t>
        <w:t xml:space="preserve">.  </w:t>
      </w:r>
      <w:r>
        <w:rPr/>
      </w:r>
      <w:r>
        <w:t xml:space="preserve">An active family law magistrate;</w:t>
      </w:r>
      <w:r>
        <w:t xml:space="preserve">  </w:t>
      </w:r>
      <w:r xmlns:wp="http://schemas.openxmlformats.org/drawingml/2010/wordprocessingDrawing" xmlns:w15="http://schemas.microsoft.com/office/word/2012/wordml">
        <w:rPr>
          <w:rFonts w:ascii="Arial" w:hAnsi="Arial" w:cs="Arial"/>
          <w:sz w:val="22"/>
          <w:szCs w:val="22"/>
        </w:rPr>
        <w:t xml:space="preserve">[PL 2007, c. 466, Pt. B, §13 (AMD).]</w:t>
      </w:r>
    </w:p>
    <w:p>
      <w:pPr>
        <w:jc w:val="both"/>
        <w:spacing w:before="100" w:after="0"/>
        <w:ind w:start="720"/>
      </w:pPr>
      <w:r>
        <w:rPr/>
        <w:t>C</w:t>
        <w:t xml:space="preserve">.  </w:t>
      </w:r>
      <w:r>
        <w:rPr/>
      </w:r>
      <w:r>
        <w:t xml:space="preserve">A current Probate Court Judge;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Two members of the family law section of the Maine State Bar Association, or its successor;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A representative of a legal services organization;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E-1</w:t>
        <w:t xml:space="preserve">.  </w:t>
      </w:r>
      <w:r>
        <w:rPr/>
      </w:r>
      <w:r>
        <w:t xml:space="preserve">A representative of the Court Alternative Dispute Resolution Service;</w:t>
      </w:r>
      <w:r>
        <w:t xml:space="preserve">  </w:t>
      </w:r>
      <w:r xmlns:wp="http://schemas.openxmlformats.org/drawingml/2010/wordprocessingDrawing" xmlns:w15="http://schemas.microsoft.com/office/word/2012/wordml">
        <w:rPr>
          <w:rFonts w:ascii="Arial" w:hAnsi="Arial" w:cs="Arial"/>
          <w:sz w:val="22"/>
          <w:szCs w:val="22"/>
        </w:rPr>
        <w:t xml:space="preserve">[PL 2005, c. 323, §2 (NEW).]</w:t>
      </w:r>
    </w:p>
    <w:p>
      <w:pPr>
        <w:jc w:val="both"/>
        <w:spacing w:before="100" w:after="0"/>
        <w:ind w:start="720"/>
      </w:pPr>
      <w:r>
        <w:rPr/>
        <w:t>F</w:t>
        <w:t xml:space="preserve">.  </w:t>
      </w:r>
      <w:r>
        <w:rPr/>
      </w:r>
      <w:r>
        <w:t xml:space="preserve">A representative of the department;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Two public members, at least one of whom has experience providing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B, §13 (AMD).]</w:t>
      </w:r>
    </w:p>
    <w:p>
      <w:pPr>
        <w:jc w:val="both"/>
        <w:spacing w:before="100" w:after="0"/>
        <w:ind w:start="360"/>
        <w:ind w:firstLine="360"/>
      </w:pPr>
      <w:r>
        <w:rPr>
          <w:b/>
        </w:rPr>
        <w:t>2</w:t>
        <w:t xml:space="preserve">.  </w:t>
      </w:r>
      <w:r>
        <w:rPr>
          <w:b/>
        </w:rPr>
        <w:t xml:space="preserve">Terms.</w:t>
        <w:t xml:space="preserve"> </w:t>
      </w:r>
      <w:r>
        <w:t xml:space="preserve"> </w:t>
      </w:r>
      <w:r>
        <w:t xml:space="preserve">A member is appointed for a term of 2 years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Vacancies.</w:t>
        <w:t xml:space="preserve"> </w:t>
      </w:r>
      <w:r>
        <w:t xml:space="preserve"> </w:t>
      </w:r>
      <w:r>
        <w:t xml:space="preserve">In the event of the death or resignation of a member, the Chief Justice of the Supreme Judicial Court shall appoint a qualified person for the remainder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323, §2 (AMD). PL 2007, c. 466, Pt. B,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§352. Membership; terms;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Membership; terms;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§352. MEMBERSHIP; TERMS;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