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§4104. COMMENCEMENT OF A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