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Modifying and extending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§4111. MODIFYING AND EXTENDING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