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155, §2 (AMD). PL 1985, c. 652, §32 (RPR). PL 1991, c. 824, §§A27,28 (AMD). PL 1993, c. 410, §V11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