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Residence; office hours; secretary; salary</w:t>
      </w:r>
    </w:p>
    <w:p>
      <w:pPr>
        <w:jc w:val="both"/>
        <w:spacing w:before="100" w:after="100"/>
        <w:ind w:start="360"/>
        <w:ind w:firstLine="360"/>
      </w:pPr>
      <w:r>
        <w:rPr/>
      </w:r>
      <w:r>
        <w:rPr/>
      </w:r>
      <w:r>
        <w:t xml:space="preserve">The Governor is entitled to reside in the Governor's official residence at Augusta during the Governor's term of office and shall keep an office at the State House open for the transaction of the business of the State during all normal working hours of the State House.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In the absence of the Governor, the Governor's private secretary must be in attendance and the private secretary shall devote the private secretary's entire time to the duties of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Until the first Wednesday of January 1987, the Governor receives an annual salary of $35,000.  Beginning the first Wednesday of January 1987, the Governor is entitled to receive an annual salary of $70,000.</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A former Governor may accept as a personal gift from the State at the end of the Governor's final term the desk and chair used by that Governor as Governor.</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§1 (AMD). PL 1973, c. 597 (AMD). PL 1983, c. 477, Pt. E, Subpt. 24, §§1, 2 (AMD). PL 1985, c. 693, §1 (AMD). PL 1987, c. 437, §1 (AMD). PL 1993, c. 361, §B1 (AMD). PL 2019, c. 475,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Residence; office hours; secretary;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Residence; office hours; secretary;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 RESIDENCE; OFFICE HOURS; SECRETARY;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