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SCHOOL 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PURPOSE</w:t>
      </w:r>
    </w:p>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SCHOOL DIRECTORS</w:t>
      </w:r>
    </w:p>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5</w:t>
      </w:r>
    </w:p>
    <w:p>
      <w:pPr>
        <w:jc w:val="center"/>
        <w:ind w:start="360"/>
        <w:spacing w:before="300" w:after="300"/>
      </w:pPr>
      <w:r>
        <w:rPr>
          <w:b/>
        </w:rPr>
        <w:t xml:space="preserve">DISTRICT REFERENDUM</w:t>
      </w:r>
    </w:p>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§§37,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w:t>
      </w:r>
    </w:p>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6</w:t>
      </w:r>
    </w:p>
    <w:p>
      <w:pPr>
        <w:jc w:val="center"/>
        <w:ind w:start="360"/>
        <w:spacing w:before="300" w:after="300"/>
      </w:pPr>
      <w:r>
        <w:rPr>
          <w:b/>
        </w:rPr>
        <w:t xml:space="preserve">REORGANIZATIONS</w:t>
      </w:r>
    </w:p>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103. SCHOOL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SCHOOL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103. SCHOOL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