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SECONDARY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205.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205.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