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417-B</w:t>
      </w:r>
    </w:p>
    <w:p>
      <w:pPr>
        <w:jc w:val="center"/>
        <w:ind w:start="360"/>
        <w:spacing w:before="300" w:after="300"/>
      </w:pPr>
      <w:r>
        <w:rPr>
          <w:b/>
        </w:rPr>
        <w:t xml:space="preserve">SUPPLEMENTAL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ind w:firstLine="360"/>
      </w:pPr>
      <w:r>
        <w:rPr/>
      </w:r>
      <w:r>
        <w:rPr/>
      </w:r>
      <w:r>
        <w:t xml:space="preserve">There is established the Student Financial Aid Supplemental Loan Program to provide assistance to students or the families of students who are residents of this State attending institutions of higher education within or outside of this State and to students attending institutions of higher education within this State and their families.  The assistance provided by this chapter is intended to supplement federal guaranteed higher education loan programs, other student loan programs, grant programs, scholarship programs, programs assisting institutions of higher education and other means of assisting students and families of students.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by the authority or by or on behalf of an institution to a student or to parents of a student, or both, in amounts not in excess of the maximum amounts specified by the authority to finance a part or all of the student's cost of attendance at an institution.  An education loan is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attended by residents of the State, any proprietary educational institution within the State for which loan guarantee services are readily and conveniently available to the authority or any proprietary educational institution outside of the State attended by residents of the State and for which loan guarantee services are readily and conveniently available to the authority, that:</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Awards an associate, baccalaureate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Meets the other conditions established by rules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11443</w:t>
        <w:t xml:space="preserve">.  </w:t>
      </w:r>
      <w:r>
        <w:rPr>
          <w:b/>
        </w:rPr>
        <w:t xml:space="preserve">Supplemental loans</w:t>
      </w:r>
    </w:p>
    <w:p>
      <w:pPr>
        <w:jc w:val="both"/>
        <w:spacing w:before="100" w:after="0"/>
        <w:ind w:start="360"/>
        <w:ind w:firstLine="360"/>
      </w:pPr>
      <w:r>
        <w:rPr>
          <w:b/>
        </w:rPr>
        <w:t>1</w:t>
        <w:t xml:space="preserve">.  </w:t>
      </w:r>
      <w:r>
        <w:rPr>
          <w:b/>
        </w:rPr>
        <w:t xml:space="preserve">Programs.</w:t>
        <w:t xml:space="preserve"> </w:t>
      </w:r>
      <w:r>
        <w:t xml:space="preserve"> </w:t>
      </w:r>
      <w:r>
        <w:t xml:space="preserve">The authority is authorized to carry out one or more programs making financial and other assistance available to borrowers or institutions to finance the cost of attendance.  The authority is further authorized to issue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Policies.</w:t>
        <w:t xml:space="preserve"> </w:t>
      </w:r>
      <w:r>
        <w:t xml:space="preserve"> </w:t>
      </w:r>
      <w:r>
        <w:t xml:space="preserve">The authority shall establish rules pertaining to participation in the Student Financial Aid Supplemental Loan Program, issuing bonds and borrowing money by the authority, a process for allocation and carry-forward of that portion of the state ceiling on issuance of tax exempt bonds allocated to the authority pursuant to </w:t>
      </w:r>
      <w:r>
        <w:t>Title 10, chapter 9</w:t>
      </w:r>
      <w:r>
        <w:t xml:space="preserve">, servicing and collection of loans made pursuant to programs of the authority and other policies governing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applicants for or recipients of financial assistance provided by the Student Financial Aid Supplemental Loan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Information to the extent the authority determines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without limitation for the purpose of making authority loans to institutions participating in a program of the authority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Be negotiable and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is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Be considered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pPr>
      <w:r>
        <w:rPr/>
      </w:r>
      <w:r>
        <w:rPr/>
      </w:r>
      <w:r>
        <w:t xml:space="preserve">Pending preparation of the definitive bonds, the authority may issue interim receipts or certificates that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the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are a part of the contract with the holders of the bonds to be authorized,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issued;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The fees and other charges collected and the sums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Limitations on the purpose to which or on the investments in which the proceeds of sale of any issue of bonds then or thereafter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Limitations on the issuance of additional bonds, the terms upon which additional bonds may be issued and secured, and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is given;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Notwithstanding any other provision of this chapter, the authority may commingle and pledge as security for a series or issue of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bonds are held for the sole benefit of the series or issue separate and apart from education loan series portfolios, and other security and money pledged for any other series or issue of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r>
      <w:r>
        <w:rPr/>
      </w:r>
      <w:r>
        <w:t xml:space="preserve">The authority may provide for transfer of registration of its registered bonds by book entry on the records of the entity designated for that purpose and may enter into any agreement that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11446</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and, if considered advisable by the authority, for any other purpose of the authority.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11447</w:t>
        <w:t xml:space="preserve">.  </w:t>
      </w:r>
      <w:r>
        <w:rPr>
          <w:b/>
        </w:rPr>
        <w:t xml:space="preserve">Loan transactions</w:t>
      </w:r>
    </w:p>
    <w:p>
      <w:pPr>
        <w:jc w:val="both"/>
        <w:spacing w:before="100" w:after="100"/>
        <w:ind w:start="360"/>
        <w:ind w:firstLine="360"/>
      </w:pPr>
      <w:r>
        <w:rPr/>
      </w:r>
      <w:r>
        <w:rPr/>
      </w:r>
      <w:r>
        <w:t xml:space="preserve">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11448</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may pledge or assign any revenues to be received by the authority or proceeds or benefits of any contract, may serve to convey or mortgage or otherwise secure any property or property rights, may contain provisions for protecting and enforcing the rights and remedies of bondholders, may restrict the individual right of action by bondholders and may contain such other provisions as the authority determines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is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11449</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capital reserve fund may not be withdrawn at any time in such amount as would reduce the amount of any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may not issue bonds if the capital reserve requirement described in </w:t>
      </w:r>
      <w:r>
        <w:t>subsection 3</w:t>
      </w:r>
      <w:r>
        <w:t xml:space="preserve"> with respect to bonds outstanding and then to be issued and secured by any capital reserve fund will exceed the amount of any such fund at the time of issuance, unless the authority, at the time of issuance of the bonds, deposits in any such fund from proceeds of the bonds to be issued, or from other sources, an amount which, together with the amount then in any such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applies according to the trust agreement or other document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must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applies according to the trust agreement or other document in principal amount exceeding $50,000,000.  The amount of bonds issued to refund bonds previously issued may not be taken into account in determining the principal amount of the bonds outstanding, provided that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are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11450</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11451</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other persons carrying on a banking business; and all other persons may properly and legally invest funds, including capital in their control or belonging to them.  These bonds are hereby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11452</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is supplemental and additional to, and the limitations imposed by this chapter do not limit or otherwise affect powers or rights conferred by other laws.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11453</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are not subject to any limitations or restrictions of any law that may limit the authority's power to issue those bonds.  The foregoing grant of power may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11454</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or those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11455</w:t>
        <w:t xml:space="preserve">.  </w:t>
      </w:r>
      <w:r>
        <w:rPr>
          <w:b/>
        </w:rPr>
        <w:t xml:space="preserve">Termination of existence of authority</w:t>
      </w:r>
    </w:p>
    <w:p>
      <w:pPr>
        <w:jc w:val="both"/>
        <w:spacing w:before="100" w:after="100"/>
        <w:ind w:start="360"/>
        <w:ind w:firstLine="360"/>
      </w:pPr>
      <w:r>
        <w:rPr/>
      </w:r>
      <w:r>
        <w:rPr/>
      </w:r>
      <w:r>
        <w:t xml:space="preserve">No law terminating the Student Financial Aid Supplemental Loan Program may take effect as long as any bonds of the program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1991, c. 6033,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11456</w:t>
        <w:t xml:space="preserve">.  </w:t>
      </w:r>
      <w:r>
        <w:rPr>
          <w:b/>
        </w:rPr>
        <w:t xml:space="preserve">Act cumulative; no notice required</w:t>
      </w:r>
    </w:p>
    <w:p>
      <w:pPr>
        <w:jc w:val="both"/>
        <w:spacing w:before="100" w:after="100"/>
        <w:ind w:start="360"/>
        <w:ind w:firstLine="360"/>
      </w:pPr>
      <w:r>
        <w:rPr/>
      </w:r>
      <w:r>
        <w:rPr/>
      </w:r>
      <w:r>
        <w:t xml:space="preserve">Nothing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11457</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417-B. SUPPLEMENTAL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417-B. SUPPLEMENTAL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417-B. SUPPLEMENTAL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