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439</w:t>
      </w:r>
    </w:p>
    <w:p>
      <w:pPr>
        <w:jc w:val="center"/>
        <w:ind w:start="360"/>
        <w:spacing w:before="300" w:after="300"/>
      </w:pPr>
      <w:r>
        <w:rPr>
          <w:b/>
        </w:rPr>
        <w:t xml:space="preserve">MAINE SCIENCE, TECHNOLOGY, ENGINEERING AND MATHEMATICS LOAN PROGRAM</w:t>
      </w:r>
    </w:p>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439. MAINE SCIENCE, TECHNOLOGY, ENGINEERING AND MATHEMATICS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439. MAINE SCIENCE, TECHNOLOGY, ENGINEERING AND MATHEMATICS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439. MAINE SCIENCE, TECHNOLOGY, ENGINEERING AND MATHEMATICS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