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§10955. TERMS OF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