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11499-C</w:t>
        <w:t xml:space="preserve">.  </w:t>
      </w:r>
      <w:r>
        <w:rPr>
          <w:b/>
        </w:rPr>
        <w:t xml:space="preserve">Chapter cumulative; no notice required</w:t>
      </w:r>
    </w:p>
    <w:p>
      <w:pPr>
        <w:jc w:val="both"/>
        <w:spacing w:before="100" w:after="100"/>
        <w:ind w:start="360"/>
        <w:ind w:firstLine="360"/>
      </w:pPr>
      <w:r>
        <w:rPr/>
      </w:r>
      <w:r>
        <w:rPr/>
      </w:r>
      <w:r>
        <w:t xml:space="preserve">This chapter may not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for those bonds, except as is provided in this chapter or in the federal Internal Revenue Code, if applicable.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§11499-C. Chapter cumulative; no notice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§11499-C. Chapter cumulative; no notice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§11499-C. CHAPTER CUMULATIVE; NO NOTICE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