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11618</w:t>
        <w:t xml:space="preserve">.  </w:t>
      </w:r>
      <w:r>
        <w:rPr>
          <w:b/>
        </w:rPr>
        <w:t xml:space="preserve">Nonlapsing fund</w:t>
      </w:r>
    </w:p>
    <w:p>
      <w:pPr>
        <w:jc w:val="both"/>
        <w:spacing w:before="100" w:after="100"/>
        <w:ind w:start="360"/>
        <w:ind w:firstLine="360"/>
      </w:pPr>
      <w:r>
        <w:rPr/>
      </w:r>
      <w:r>
        <w:rPr/>
      </w:r>
      <w:r>
        <w:t xml:space="preserve">Any unexpended funds appropriated by the Legislature to carry out the purposes of this program shall not lapse, but shall be carried forward for continued use in the program.</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§11618.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§11618.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§11618.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